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2" w:rsidRDefault="00381F74" w:rsidP="00381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83680" cy="8785860"/>
            <wp:effectExtent l="0" t="0" r="7620" b="0"/>
            <wp:docPr id="1" name="Рисунок 1" descr="C:\Users\1\Pictures\2023-04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4-2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56" cy="878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1F74" w:rsidRDefault="00381F74" w:rsidP="00381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F74" w:rsidRDefault="00381F74" w:rsidP="00381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7C4ED2" w:rsidRDefault="005D7B32" w:rsidP="005D7B3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 w:rsidR="009C253C" w:rsidRPr="00240B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C253C" w:rsidRPr="00240B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3"/>
        <w:gridCol w:w="8642"/>
      </w:tblGrid>
      <w:tr w:rsidR="000E294D" w:rsidRPr="00381F74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9D0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казённое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образовательное учреждение Детский сад</w:t>
            </w:r>
            <w:r w:rsid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9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Айсылув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 w:rsidR="0099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9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Айсылув</w:t>
            </w:r>
            <w:proofErr w:type="spellEnd"/>
            <w:r w:rsid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E294D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56B86" w:rsidRDefault="009926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4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Кляниевна</w:t>
            </w:r>
            <w:proofErr w:type="spellEnd"/>
          </w:p>
        </w:tc>
      </w:tr>
      <w:tr w:rsidR="000E294D" w:rsidRPr="00381F74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926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368850</w:t>
            </w:r>
            <w:r w:rsid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 Ногайский район с.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Терекли-Мектеб, улица Терешковой</w:t>
            </w:r>
            <w:r w:rsidR="00FD4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,12</w:t>
            </w:r>
          </w:p>
        </w:tc>
      </w:tr>
      <w:tr w:rsidR="000E294D" w:rsidRPr="00D56B86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56B86" w:rsidRDefault="009C253C">
            <w:pPr>
              <w:rPr>
                <w:lang w:val="ru-RU"/>
              </w:rPr>
            </w:pPr>
            <w:r w:rsidRP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56B86" w:rsidRDefault="0099269A">
            <w:pPr>
              <w:rPr>
                <w:lang w:val="ru-RU"/>
              </w:rPr>
            </w:pPr>
            <w:r>
              <w:rPr>
                <w:lang w:val="ru-RU"/>
              </w:rPr>
              <w:t>89285373241</w:t>
            </w:r>
          </w:p>
        </w:tc>
      </w:tr>
      <w:tr w:rsidR="000E294D" w:rsidRPr="00D56B86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56B86" w:rsidRDefault="009C253C">
            <w:pPr>
              <w:rPr>
                <w:lang w:val="ru-RU"/>
              </w:rPr>
            </w:pPr>
            <w:r w:rsidRP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56B86" w:rsidRDefault="00DD52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</w:t>
            </w:r>
            <w:r w:rsidR="0099269A">
              <w:rPr>
                <w:rFonts w:hAnsi="Times New Roman" w:cs="Times New Roman"/>
                <w:color w:val="000000"/>
                <w:sz w:val="24"/>
                <w:szCs w:val="24"/>
              </w:rPr>
              <w:t>siy</w:t>
            </w:r>
            <w:r w:rsidR="00CC0A89">
              <w:rPr>
                <w:rFonts w:hAnsi="Times New Roman" w:cs="Times New Roman"/>
                <w:color w:val="000000"/>
                <w:sz w:val="24"/>
                <w:szCs w:val="24"/>
              </w:rPr>
              <w:t>a</w:t>
            </w:r>
            <w:r w:rsidR="0099269A">
              <w:rPr>
                <w:rFonts w:hAnsi="Times New Roman" w:cs="Times New Roman"/>
                <w:color w:val="000000"/>
                <w:sz w:val="24"/>
                <w:szCs w:val="24"/>
              </w:rPr>
              <w:t>t.6464@mail.ru</w:t>
            </w:r>
          </w:p>
        </w:tc>
      </w:tr>
      <w:tr w:rsidR="000E294D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56B86" w:rsidRDefault="009C253C">
            <w:pPr>
              <w:rPr>
                <w:lang w:val="ru-RU"/>
              </w:rPr>
            </w:pPr>
            <w:r w:rsidRPr="00D56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269A" w:rsidRDefault="009926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 «Ногайский район»</w:t>
            </w:r>
          </w:p>
        </w:tc>
      </w:tr>
      <w:tr w:rsidR="000E294D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9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1960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E294D" w:rsidRPr="00DD5239" w:rsidT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D5239" w:rsidRDefault="009C253C">
            <w:pPr>
              <w:rPr>
                <w:lang w:val="ru-RU"/>
              </w:rPr>
            </w:pPr>
            <w:r w:rsidRP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5239" w:rsidRP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05.2016</w:t>
            </w:r>
            <w:r w:rsidRP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8583</w:t>
            </w:r>
            <w:r w:rsidRP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 w:rsid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52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0002971</w:t>
            </w:r>
          </w:p>
        </w:tc>
      </w:tr>
    </w:tbl>
    <w:p w:rsidR="000E294D" w:rsidRPr="009C23AE" w:rsidRDefault="00FD4F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Детский сад 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Айсылув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 xml:space="preserve">села.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2B000B">
        <w:rPr>
          <w:rFonts w:hAnsi="Times New Roman" w:cs="Times New Roman"/>
          <w:color w:val="000000"/>
          <w:sz w:val="24"/>
          <w:szCs w:val="24"/>
          <w:lang w:val="ru-RU"/>
        </w:rPr>
        <w:t xml:space="preserve"> нетиповое.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00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риспособленное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. Проектная наполняемость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 xml:space="preserve"> 393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DD5239" w:rsidRPr="00DD52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 xml:space="preserve"> 344,2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8B5F80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Детского сада: </w:t>
      </w:r>
    </w:p>
    <w:p w:rsidR="008B5F80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пятницу. </w:t>
      </w:r>
    </w:p>
    <w:p w:rsidR="008B5F80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07:3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16:3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680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273-ФЗ"Об образовании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9E38A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E206B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дошкольного образования.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DD5239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91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DD52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5239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DD523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239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23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Default="005A27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младшие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53C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C0A89">
        <w:rPr>
          <w:rFonts w:hAnsi="Times New Roman" w:cs="Times New Roman"/>
          <w:color w:val="000000"/>
          <w:sz w:val="24"/>
          <w:szCs w:val="24"/>
        </w:rPr>
        <w:t>32</w:t>
      </w:r>
      <w:r w:rsidR="009E38A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8A1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E38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6517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C0A89"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5A27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старшие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—</w:t>
      </w:r>
      <w:r w:rsidR="009E38A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65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0A89">
        <w:rPr>
          <w:rFonts w:hAnsi="Times New Roman" w:cs="Times New Roman"/>
          <w:color w:val="000000"/>
          <w:sz w:val="24"/>
          <w:szCs w:val="24"/>
        </w:rPr>
        <w:t>36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C253C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Pr="009C23AE" w:rsidRDefault="000E294D" w:rsidP="005A272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1C45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D4F8D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C4554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E294D" w:rsidRPr="001C4554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011"/>
        <w:gridCol w:w="5595"/>
      </w:tblGrid>
      <w:tr w:rsidR="00FD4F8D" w:rsidRPr="00381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D4F8D" w:rsidRP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F3119" w:rsidRDefault="00CC0A89" w:rsidP="000F3119">
            <w:pPr>
              <w:rPr>
                <w:lang w:val="ru-RU"/>
              </w:rPr>
            </w:pPr>
            <w:r>
              <w:t>7</w:t>
            </w:r>
            <w:r w:rsidR="000F3119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CC0A89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0F3119"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D4F8D" w:rsidRP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9C253C">
            <w:pPr>
              <w:rPr>
                <w:lang w:val="ru-RU"/>
              </w:rPr>
            </w:pPr>
            <w:proofErr w:type="gramStart"/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0F3119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CC0A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10.4</w:t>
            </w:r>
            <w:r w:rsidR="009C253C"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D4F8D" w:rsidRP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9C253C">
            <w:pPr>
              <w:rPr>
                <w:lang w:val="ru-RU"/>
              </w:rPr>
            </w:pPr>
            <w:proofErr w:type="gramStart"/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0F3119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0F3119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D4F8D" w:rsidRPr="00CC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9C253C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1C4554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1C4554">
            <w:pPr>
              <w:rPr>
                <w:lang w:val="ru-RU"/>
              </w:rPr>
            </w:pPr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-</w:t>
            </w:r>
          </w:p>
        </w:tc>
      </w:tr>
    </w:tbl>
    <w:p w:rsidR="000E294D" w:rsidRPr="001C4554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55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554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5595"/>
      </w:tblGrid>
      <w:tr w:rsidR="002F211A" w:rsidRPr="00381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 w:rsidRPr="00CC0A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F2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93AD0" w:rsidRDefault="002F21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C0A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F2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93AD0" w:rsidRDefault="002F21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C0A89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F2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2F21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CC0A89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C0A89">
            <w:r>
              <w:rPr>
                <w:rFonts w:hAnsi="Times New Roman" w:cs="Times New Roman"/>
                <w:color w:val="000000"/>
                <w:sz w:val="24"/>
                <w:szCs w:val="24"/>
              </w:rPr>
              <w:t>21.3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E294D" w:rsidRPr="009C23AE" w:rsidRDefault="005D7B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2894"/>
        <w:gridCol w:w="2168"/>
        <w:gridCol w:w="1297"/>
        <w:gridCol w:w="1319"/>
        <w:gridCol w:w="1653"/>
      </w:tblGrid>
      <w:tr w:rsidR="00E3078D" w:rsidTr="00E30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E3078D" w:rsidTr="00E30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8B5F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8B5F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E3078D" w:rsidTr="00E3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Ловкие пальчики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3078D" w:rsidTr="00E3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3078D" w:rsidTr="00E3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Творим 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3078D" w:rsidTr="00E3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078D" w:rsidTr="00E3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Волшебные 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P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E30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8D" w:rsidRDefault="009D6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D6EE6" w:rsidTr="00E3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EE6" w:rsidRPr="009D6EE6" w:rsidRDefault="009D6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EE6" w:rsidRDefault="009D6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Крепыш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EE6" w:rsidRDefault="009D6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EE6" w:rsidRPr="009D6EE6" w:rsidRDefault="009D6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EE6" w:rsidRPr="009D6EE6" w:rsidRDefault="009D6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EE6" w:rsidRPr="008B57FB" w:rsidRDefault="008B57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</w:t>
      </w:r>
      <w:r w:rsidR="00FD4F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естественнонаучной направленности. 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7B32" w:rsidRPr="003C3B53" w:rsidRDefault="005D7B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B32" w:rsidRPr="003C3B53" w:rsidRDefault="005D7B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B32" w:rsidRPr="003C3B53" w:rsidRDefault="005D7B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2"/>
        <w:gridCol w:w="8854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E294D" w:rsidRPr="00381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381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E294D" w:rsidRPr="009C23AE" w:rsidRDefault="001C4554" w:rsidP="001C45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5"/>
        <w:gridCol w:w="758"/>
        <w:gridCol w:w="583"/>
        <w:gridCol w:w="738"/>
        <w:gridCol w:w="570"/>
        <w:gridCol w:w="784"/>
        <w:gridCol w:w="474"/>
        <w:gridCol w:w="738"/>
        <w:gridCol w:w="2436"/>
      </w:tblGrid>
      <w:tr w:rsidR="00916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916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916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22BA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22BAB" w:rsidRDefault="00916F84">
            <w:pPr>
              <w:rPr>
                <w:lang w:val="ru-RU"/>
              </w:rPr>
            </w:pPr>
            <w:r>
              <w:rPr>
                <w:lang w:val="ru-RU"/>
              </w:rPr>
              <w:t>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22BAB" w:rsidRDefault="00916F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22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D22BAB"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916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16F84" w:rsidRDefault="009C25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 w:rsidR="00916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16F84">
            <w:r>
              <w:rPr>
                <w:rFonts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</w:tbl>
    <w:p w:rsidR="000E294D" w:rsidRPr="009C23AE" w:rsidRDefault="00916F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1C4554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апреле 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</w:t>
      </w:r>
      <w:r w:rsidR="00E66517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старшей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группы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1C455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Задания позволили оценить уровень </w:t>
      </w:r>
      <w:r w:rsidR="00FA3D14">
        <w:rPr>
          <w:rFonts w:hAnsi="Times New Roman" w:cs="Times New Roman"/>
          <w:color w:val="000000"/>
          <w:sz w:val="24"/>
          <w:szCs w:val="24"/>
          <w:lang w:val="ru-RU"/>
        </w:rPr>
        <w:t>готовности выпускников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1C4554" w:rsidRDefault="009C253C" w:rsidP="001C45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E294D" w:rsidRPr="009C23AE" w:rsidRDefault="001C4554" w:rsidP="001C45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1C4554" w:rsidRDefault="001C4554" w:rsidP="008B5F8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F80" w:rsidRPr="008B5F80" w:rsidRDefault="008B5F80" w:rsidP="008B5F8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1C4554" w:rsidRDefault="009C253C" w:rsidP="001C455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554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C4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C45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4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C4ED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7C4ED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3C3B5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="009C253C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> —</w:t>
      </w:r>
      <w:r w:rsidR="00D22BAB">
        <w:rPr>
          <w:rFonts w:hAnsi="Times New Roman" w:cs="Times New Roman"/>
          <w:color w:val="000000"/>
          <w:sz w:val="24"/>
          <w:szCs w:val="24"/>
        </w:rPr>
        <w:t xml:space="preserve"> 9</w:t>
      </w:r>
      <w:r w:rsidR="009C253C"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Default="009C25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D22BAB">
        <w:rPr>
          <w:rFonts w:hAnsi="Times New Roman" w:cs="Times New Roman"/>
          <w:color w:val="000000"/>
          <w:sz w:val="24"/>
          <w:szCs w:val="24"/>
        </w:rPr>
        <w:t xml:space="preserve"> 3,5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</w:t>
      </w:r>
      <w:r w:rsidR="00D22BAB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соответствие занимаемой должности -  два воспитателя.</w:t>
      </w:r>
    </w:p>
    <w:p w:rsidR="00D22BAB" w:rsidRDefault="00D2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995A85" w:rsidRDefault="00D22BAB" w:rsidP="00995A85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7C4ED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</w:p>
    <w:p w:rsidR="000E294D" w:rsidRPr="009C23AE" w:rsidRDefault="008B57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2268"/>
        <w:gridCol w:w="1701"/>
      </w:tblGrid>
      <w:tr w:rsidR="008B57FB" w:rsidTr="008B57FB">
        <w:tc>
          <w:tcPr>
            <w:tcW w:w="709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268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Стаж </w:t>
            </w:r>
          </w:p>
        </w:tc>
        <w:tc>
          <w:tcPr>
            <w:tcW w:w="1701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</w:p>
        </w:tc>
      </w:tr>
      <w:tr w:rsidR="008B57FB" w:rsidTr="008B57FB">
        <w:tc>
          <w:tcPr>
            <w:tcW w:w="709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До 5 лет </w:t>
            </w:r>
          </w:p>
        </w:tc>
        <w:tc>
          <w:tcPr>
            <w:tcW w:w="1701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</w:tr>
      <w:tr w:rsidR="008B57FB" w:rsidTr="008B57FB">
        <w:tc>
          <w:tcPr>
            <w:tcW w:w="709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До 10 лет</w:t>
            </w:r>
          </w:p>
        </w:tc>
        <w:tc>
          <w:tcPr>
            <w:tcW w:w="1701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 4</w:t>
            </w:r>
          </w:p>
        </w:tc>
      </w:tr>
      <w:tr w:rsidR="008B57FB" w:rsidTr="008B57FB">
        <w:tc>
          <w:tcPr>
            <w:tcW w:w="709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До 20 лет</w:t>
            </w:r>
          </w:p>
        </w:tc>
        <w:tc>
          <w:tcPr>
            <w:tcW w:w="1701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 3</w:t>
            </w:r>
          </w:p>
        </w:tc>
      </w:tr>
      <w:tr w:rsidR="008B57FB" w:rsidTr="008B57FB">
        <w:tc>
          <w:tcPr>
            <w:tcW w:w="709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Свыше 20 лет </w:t>
            </w:r>
          </w:p>
        </w:tc>
        <w:tc>
          <w:tcPr>
            <w:tcW w:w="1701" w:type="dxa"/>
          </w:tcPr>
          <w:p w:rsidR="008B57FB" w:rsidRDefault="008B57FB">
            <w:pPr>
              <w:rPr>
                <w:lang w:val="ru-RU"/>
              </w:rPr>
            </w:pPr>
            <w:r>
              <w:rPr>
                <w:lang w:val="ru-RU"/>
              </w:rPr>
              <w:t xml:space="preserve"> 3</w:t>
            </w:r>
          </w:p>
        </w:tc>
      </w:tr>
    </w:tbl>
    <w:p w:rsidR="000E294D" w:rsidRPr="00D22BAB" w:rsidRDefault="000E294D">
      <w:pPr>
        <w:rPr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0E294D" w:rsidRPr="009C23AE" w:rsidRDefault="006062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республиканский этап конкурса «Безопасные дороги детства</w:t>
      </w:r>
      <w:r w:rsidR="00CC0A89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CC0A89" w:rsidRPr="00CC0A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E294D" w:rsidRDefault="006062D2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этап смотра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онкурса</w:t>
      </w:r>
      <w:r w:rsidR="00EA55C3">
        <w:rPr>
          <w:rFonts w:hAnsi="Times New Roman" w:cs="Times New Roman"/>
          <w:color w:val="000000"/>
          <w:sz w:val="24"/>
          <w:szCs w:val="24"/>
          <w:lang w:val="ru-RU"/>
        </w:rPr>
        <w:t xml:space="preserve"> «Лучшая ДОО по обучению дошкольников ПДД</w:t>
      </w:r>
    </w:p>
    <w:p w:rsidR="00EA55C3" w:rsidRDefault="00EA55C3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Международная олимпиада «Глобус»</w:t>
      </w:r>
    </w:p>
    <w:p w:rsidR="00EA55C3" w:rsidRDefault="00EA55C3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профессиональная олимпиада для работников образовательных организаций по номинации «Современный детский сад»</w:t>
      </w:r>
    </w:p>
    <w:p w:rsidR="00EA55C3" w:rsidRPr="00CC0A89" w:rsidRDefault="00EA55C3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Всероссийская олимпиада для детей дошкольного возраста «Аврора»</w:t>
      </w:r>
    </w:p>
    <w:p w:rsidR="00CC0A89" w:rsidRDefault="00CC0A89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Всероссийская олимпиада на платформе «Педсовет»</w:t>
      </w:r>
    </w:p>
    <w:p w:rsidR="00CC0A89" w:rsidRDefault="00CC0A89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этап республиканского конкурса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дошколята»</w:t>
      </w:r>
    </w:p>
    <w:p w:rsidR="00CC0A89" w:rsidRDefault="00CC0A89" w:rsidP="00EA55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Республиканский этап конкурса «Лучший мастер класс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природы»</w:t>
      </w:r>
    </w:p>
    <w:p w:rsidR="00EA55C3" w:rsidRPr="00EA55C3" w:rsidRDefault="00EA55C3" w:rsidP="008B5F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</w:t>
      </w:r>
      <w:r w:rsidR="00FA3D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916F84" w:rsidRPr="005D7B32" w:rsidRDefault="00CC0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посещает один воспитанник</w:t>
      </w:r>
      <w:r w:rsidR="009C253C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9C253C" w:rsidRPr="005D7B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</w:t>
      </w:r>
      <w:proofErr w:type="gramStart"/>
      <w:r w:rsidR="009C253C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9C253C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ощущается нехватка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специалиста-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тьюте</w:t>
      </w:r>
      <w:r w:rsidR="00916F84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proofErr w:type="spellEnd"/>
      <w:r w:rsidR="00916F84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C253C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6F84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0E294D" w:rsidRPr="005D7B32" w:rsidRDefault="00995A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B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Таким образом, анализ профессионального уровня педагогов позволяет сделать выводы о том, что коллектив </w:t>
      </w:r>
      <w:r w:rsidR="005D7B32" w:rsidRPr="005D7B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ДОУ </w:t>
      </w:r>
      <w:r w:rsidRPr="005D7B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ребенка.</w:t>
      </w:r>
      <w:r w:rsidR="005D7B32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укомплектован достаточным количеством педагогических и</w:t>
      </w:r>
      <w:r w:rsidR="005D7B32" w:rsidRPr="005D7B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7B32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5D7B32" w:rsidRPr="005D7B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7B32" w:rsidRPr="005D7B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EA55C3" w:rsidRPr="001B0A63" w:rsidRDefault="00EA55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62D39" w:rsidRDefault="00916F84" w:rsidP="00262D3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Методическое обесп</w:t>
      </w:r>
      <w:r w:rsid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ечение соответствует ООП МКДОУ 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Детский сад </w:t>
      </w:r>
      <w:r w:rsid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«</w:t>
      </w:r>
      <w:proofErr w:type="spellStart"/>
      <w:r w:rsid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Айсылув</w:t>
      </w:r>
      <w:proofErr w:type="spellEnd"/>
      <w:r w:rsid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»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, ФГОС ДО к условиям реал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изации основной образовательной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программы дошкольного образования. П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 всем реализуемым программам в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ДОУ имеет достаточное методическое 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обеспечение: укомплектованность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методической литературой, учебно-нагл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ядными пособиями и материалами.   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В ДОУ имеется методическая лите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ратура по направлениям развития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дошкольников: социально-коммуникативн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ое, физическое, познавательное,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речевое, художественно-эстети</w:t>
      </w:r>
      <w:r w:rsidR="00262D39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ческое в соответствии с ООП ДО. </w:t>
      </w:r>
    </w:p>
    <w:p w:rsidR="00995A85" w:rsidRPr="00995A85" w:rsidRDefault="00262D39" w:rsidP="00262D3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Своевременно приобретается н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овое методическое обеспечение,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соответствующее ФГОС ДО. На сайт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е ДОУ имеются ссылки на порталы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информационных образовательных ре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сурсов. В ДОУ создана картотека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методической и художественной ли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тературы. В фонде периодической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литературы есть подписное издани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е для педагогов: «Дошкольное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воспитание». В ДОУ имеется библиот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ека методической литературы для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педагогов и художественная литература д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ля чтения дошкольникам (сказки,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стихи, рассказы отечественных и зару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бежных писателей, хрестоматии),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научно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-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популярная литература (атласы,</w:t>
      </w:r>
      <w:r w:rsid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энциклопедии, плакаты и т.п.),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репродукции картин, иллюстративный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материал, дидактические пособия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демонстра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ционный и раздаточный материал.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Кроме того, в целях эффективн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ого библиотечно-информационного </w:t>
      </w:r>
      <w:r w:rsidR="00995A85"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обеспечения используются электронные ресурсы.</w:t>
      </w:r>
    </w:p>
    <w:p w:rsidR="000E294D" w:rsidRPr="00262D39" w:rsidRDefault="00262D39" w:rsidP="00262D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="009C253C" w:rsidRPr="00262D39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E294D" w:rsidRPr="009C23AE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картинкам»</w:t>
      </w:r>
      <w:r w:rsidR="00FE42F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E294D" w:rsidRPr="00FE42FB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2FB">
        <w:rPr>
          <w:rFonts w:hAnsi="Times New Roman" w:cs="Times New Roman"/>
          <w:color w:val="000000"/>
          <w:sz w:val="24"/>
          <w:szCs w:val="24"/>
          <w:lang w:val="ru-RU"/>
        </w:rPr>
        <w:t>картины для рассматривания, плакаты;</w:t>
      </w:r>
    </w:p>
    <w:p w:rsidR="000E294D" w:rsidRPr="009C23AE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E294D" w:rsidRPr="00FE42FB" w:rsidRDefault="009C25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2FB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обучающихся.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94D" w:rsidRPr="009C23AE" w:rsidRDefault="009C25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 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916F84">
        <w:rPr>
          <w:rFonts w:hAnsi="Times New Roman" w:cs="Times New Roman"/>
          <w:color w:val="000000"/>
          <w:sz w:val="24"/>
          <w:szCs w:val="24"/>
          <w:lang w:val="ru-RU"/>
        </w:rPr>
        <w:t xml:space="preserve"> - 1, принтером -1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="00332AA0" w:rsidRPr="00332A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262D39" w:rsidRPr="00995A85" w:rsidRDefault="00262D39" w:rsidP="00262D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Вывод: Учебно-методическое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обеспечение в ДОУ соответствует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требованиям реализуемой образова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тельной программы, обеспечивает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образовательную деятельность, присмотр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и уход. В ДОУ созданы условия, о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беспечивающие повышение мотивации участников образовательного</w:t>
      </w:r>
    </w:p>
    <w:p w:rsidR="00262D39" w:rsidRPr="00995A85" w:rsidRDefault="00262D39" w:rsidP="00262D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процесса на личностное саморазвитие,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самореализацию, самостоятельную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творческую деятельность. Педагоги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имеют возможность пользоваться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фондом учебно-методической литер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атуры. Методическое обеспечение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способствует развитию творческого потенциала педагого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в, качественному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росту проф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ессионального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lastRenderedPageBreak/>
        <w:t>мастерства и успехам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в конкурсном движении. Однако,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библиотечный фонд ДОУ представлен недостаточным количеством</w:t>
      </w:r>
    </w:p>
    <w:p w:rsidR="00262D39" w:rsidRPr="00995A85" w:rsidRDefault="00262D39" w:rsidP="00262D39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литературы для воспитанников и для 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педагогов, поэтому, в следующем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учебном году планируется продолжить работу по осна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щению ДОУ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методической и учебной литературой, с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оответствующей требованиям ФГОС </w:t>
      </w:r>
      <w:r w:rsidRPr="00995A85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ДО.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596A" w:rsidRPr="003C3B53" w:rsidRDefault="004359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5A2724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0E294D" w:rsidRPr="005A2724" w:rsidRDefault="005A2724" w:rsidP="005A272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C253C" w:rsidRPr="005A2724">
        <w:rPr>
          <w:rFonts w:hAnsi="Times New Roman" w:cs="Times New Roman"/>
          <w:color w:val="000000"/>
          <w:sz w:val="24"/>
          <w:szCs w:val="24"/>
          <w:lang w:val="ru-RU"/>
        </w:rPr>
        <w:t>групповые помещения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5A2724">
        <w:rPr>
          <w:rFonts w:hAnsi="Times New Roman" w:cs="Times New Roman"/>
          <w:color w:val="000000"/>
          <w:sz w:val="24"/>
          <w:szCs w:val="24"/>
          <w:lang w:val="ru-RU"/>
        </w:rPr>
        <w:t>— 5;</w:t>
      </w:r>
    </w:p>
    <w:p w:rsidR="000E294D" w:rsidRPr="005A2724" w:rsidRDefault="009C253C" w:rsidP="005A272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>кабинет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5A2724" w:rsidRPr="005A2724" w:rsidRDefault="005A2724" w:rsidP="005A272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0E294D" w:rsidRPr="005A2724" w:rsidRDefault="005A2724" w:rsidP="005A272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A2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5A2724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5A2724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0E294D" w:rsidRDefault="005A2724" w:rsidP="005A272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C253C" w:rsidRPr="005A2724">
        <w:rPr>
          <w:rFonts w:hAnsi="Times New Roman" w:cs="Times New Roman"/>
          <w:color w:val="000000"/>
          <w:sz w:val="24"/>
          <w:szCs w:val="24"/>
          <w:lang w:val="ru-RU"/>
        </w:rPr>
        <w:t>прачечная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5A2724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A95C56" w:rsidRPr="005A2724" w:rsidRDefault="00A95C56" w:rsidP="005A272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складское помещение – 1.</w:t>
      </w:r>
    </w:p>
    <w:p w:rsidR="000E294D" w:rsidRPr="005A2724" w:rsidRDefault="000E294D" w:rsidP="005A2724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D56B86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 w:rsidR="005A272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медкабинета</w:t>
      </w:r>
      <w:r w:rsidR="005469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малые 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A95C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закупку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дооснастил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 пищеблока новым оборудованием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A95C56" w:rsidP="00A95C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694F">
        <w:rPr>
          <w:rFonts w:hAnsi="Times New Roman" w:cs="Times New Roman"/>
          <w:color w:val="000000"/>
          <w:sz w:val="24"/>
          <w:szCs w:val="24"/>
          <w:lang w:val="ru-RU"/>
        </w:rPr>
        <w:t>19.12.2020г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12.10.2022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19.10.2022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9C23AE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95C5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43596A" w:rsidRDefault="009C253C" w:rsidP="0043596A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  <w:r w:rsidR="0043596A"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</w:p>
    <w:p w:rsidR="0043596A" w:rsidRPr="0043596A" w:rsidRDefault="0043596A" w:rsidP="0043596A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Вывод: Система внутренней оценки ка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чества образования функционирует 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в соответствии с требованиями действующего законодательства, созданная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система работы ДОУ позволяет максимально удовлетворять потребность 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запросы родителей. Таким образом, на основе </w:t>
      </w:r>
      <w:proofErr w:type="spellStart"/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самообследования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д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еятельности ДОУ, представленной в аналитической части отчёта, можно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сделать вывод, что в ДОУ создана развивающая образовательная среда,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представляющая собой систему условий социализации и индивидуализации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</w:t>
      </w:r>
      <w:r w:rsidRPr="0043596A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воспитанников.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F80" w:rsidRDefault="005D7B32" w:rsidP="005D7B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8B5F80" w:rsidRDefault="008B5F80" w:rsidP="005D7B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F80" w:rsidRDefault="008B5F80" w:rsidP="005D7B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F80" w:rsidRDefault="008B5F80" w:rsidP="005D7B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5D7B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5F80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85"/>
        <w:gridCol w:w="1488"/>
        <w:gridCol w:w="1433"/>
      </w:tblGrid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32A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CC0A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 w:rsidR="005A27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0A89" w:rsidRDefault="00CC0A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E260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22FE3" w:rsidRDefault="00922F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4694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-часового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22F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4694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32A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proofErr w:type="gramStart"/>
            <w:r w:rsidR="001B0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,03</w:t>
            </w:r>
            <w:proofErr w:type="gramEnd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B0A63" w:rsidRDefault="001B0A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32AA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32AA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32AA0" w:rsidRDefault="00332A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32AA0" w:rsidRDefault="00332A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32AA0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95C5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95C56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4694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E42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22F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22F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0A6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E42F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B0A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4694F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332A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32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1B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332A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E42F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32AA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E42F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A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A2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32A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E294D" w:rsidRPr="005D7B32" w:rsidRDefault="009C253C">
      <w:pPr>
        <w:rPr>
          <w:rFonts w:cstheme="minorHAnsi"/>
          <w:color w:val="000000"/>
          <w:sz w:val="24"/>
          <w:szCs w:val="24"/>
          <w:lang w:val="ru-RU"/>
        </w:rPr>
      </w:pPr>
      <w:r w:rsidRPr="005D7B32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 xml:space="preserve">то, что Детский сад имеет </w:t>
      </w:r>
      <w:r w:rsidR="006806FB" w:rsidRPr="005D7B32">
        <w:rPr>
          <w:rFonts w:cstheme="minorHAnsi"/>
          <w:color w:val="000000"/>
          <w:sz w:val="24"/>
          <w:szCs w:val="24"/>
          <w:lang w:val="ru-RU"/>
        </w:rPr>
        <w:t>не</w:t>
      </w:r>
      <w:r w:rsidRPr="005D7B32">
        <w:rPr>
          <w:rFonts w:cstheme="minorHAnsi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</w:t>
      </w:r>
      <w:r w:rsidR="005A2724" w:rsidRPr="005D7B3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D7B32">
        <w:rPr>
          <w:rFonts w:cstheme="minorHAnsi"/>
          <w:color w:val="000000"/>
          <w:sz w:val="24"/>
          <w:szCs w:val="24"/>
          <w:lang w:val="ru-RU"/>
        </w:rPr>
        <w:t>СП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молодежи» и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D7B32">
        <w:rPr>
          <w:rFonts w:cstheme="minorHAnsi"/>
          <w:color w:val="000000"/>
          <w:sz w:val="24"/>
          <w:szCs w:val="24"/>
        </w:rPr>
        <w:t> </w:t>
      </w:r>
      <w:r w:rsidRPr="005D7B32">
        <w:rPr>
          <w:rFonts w:cstheme="minorHAnsi"/>
          <w:color w:val="000000"/>
          <w:sz w:val="24"/>
          <w:szCs w:val="24"/>
          <w:lang w:val="ru-RU"/>
        </w:rPr>
        <w:t>ФГОС ДО.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294D" w:rsidRPr="009C23AE" w:rsidSect="00381F74">
      <w:pgSz w:w="11907" w:h="16839"/>
      <w:pgMar w:top="568" w:right="425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AD0"/>
    <w:rsid w:val="000E294D"/>
    <w:rsid w:val="000F3119"/>
    <w:rsid w:val="00140EEF"/>
    <w:rsid w:val="00171257"/>
    <w:rsid w:val="001A41A5"/>
    <w:rsid w:val="001B0A63"/>
    <w:rsid w:val="001C4554"/>
    <w:rsid w:val="00240B75"/>
    <w:rsid w:val="00262D39"/>
    <w:rsid w:val="002B000B"/>
    <w:rsid w:val="002D33B1"/>
    <w:rsid w:val="002D3591"/>
    <w:rsid w:val="002F211A"/>
    <w:rsid w:val="00332AA0"/>
    <w:rsid w:val="003514A0"/>
    <w:rsid w:val="00381F74"/>
    <w:rsid w:val="003C3B53"/>
    <w:rsid w:val="0043596A"/>
    <w:rsid w:val="004F02CD"/>
    <w:rsid w:val="004F7E17"/>
    <w:rsid w:val="0054694F"/>
    <w:rsid w:val="005A05CE"/>
    <w:rsid w:val="005A2724"/>
    <w:rsid w:val="005D7B32"/>
    <w:rsid w:val="005E2608"/>
    <w:rsid w:val="006062D2"/>
    <w:rsid w:val="006501B4"/>
    <w:rsid w:val="00653AF6"/>
    <w:rsid w:val="006806FB"/>
    <w:rsid w:val="007C4ED2"/>
    <w:rsid w:val="008B57FB"/>
    <w:rsid w:val="008B5F80"/>
    <w:rsid w:val="00916F84"/>
    <w:rsid w:val="00922FE3"/>
    <w:rsid w:val="0099269A"/>
    <w:rsid w:val="00995A85"/>
    <w:rsid w:val="009C23AE"/>
    <w:rsid w:val="009C253C"/>
    <w:rsid w:val="009C5B69"/>
    <w:rsid w:val="009D04CF"/>
    <w:rsid w:val="009D6EE6"/>
    <w:rsid w:val="009E38A1"/>
    <w:rsid w:val="00A95C56"/>
    <w:rsid w:val="00B73A5A"/>
    <w:rsid w:val="00CC0A89"/>
    <w:rsid w:val="00D22BAB"/>
    <w:rsid w:val="00D56B86"/>
    <w:rsid w:val="00DD5239"/>
    <w:rsid w:val="00E206B0"/>
    <w:rsid w:val="00E3078D"/>
    <w:rsid w:val="00E438A1"/>
    <w:rsid w:val="00E66517"/>
    <w:rsid w:val="00EA55C3"/>
    <w:rsid w:val="00F01E19"/>
    <w:rsid w:val="00F2557F"/>
    <w:rsid w:val="00FA3D14"/>
    <w:rsid w:val="00FD4F8D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6B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57F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6B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57F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1</cp:lastModifiedBy>
  <cp:revision>37</cp:revision>
  <cp:lastPrinted>2023-04-24T06:53:00Z</cp:lastPrinted>
  <dcterms:created xsi:type="dcterms:W3CDTF">2022-02-02T09:36:00Z</dcterms:created>
  <dcterms:modified xsi:type="dcterms:W3CDTF">2023-04-24T08:00:00Z</dcterms:modified>
</cp:coreProperties>
</file>